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40C0E">
      <w:pPr>
        <w:pStyle w:val="4"/>
        <w:jc w:val="center"/>
        <w:rPr>
          <w:sz w:val="22"/>
          <w:szCs w:val="22"/>
        </w:rPr>
      </w:pPr>
      <w:bookmarkStart w:id="0" w:name="_GoBack"/>
      <w:bookmarkEnd w:id="0"/>
      <w:proofErr w:type="gramStart"/>
      <w:r>
        <w:rPr>
          <w:sz w:val="22"/>
          <w:szCs w:val="22"/>
        </w:rPr>
        <w:t>Тарифы  за</w:t>
      </w:r>
      <w:proofErr w:type="gramEnd"/>
      <w:r>
        <w:rPr>
          <w:sz w:val="22"/>
          <w:szCs w:val="22"/>
        </w:rPr>
        <w:t xml:space="preserve"> услуги по эмиссии и обслуживанию банковских  карт «МИР»</w:t>
      </w:r>
    </w:p>
    <w:p w:rsidR="00000000" w:rsidRDefault="00540C0E">
      <w:pPr>
        <w:jc w:val="center"/>
      </w:pPr>
    </w:p>
    <w:p w:rsidR="00000000" w:rsidRDefault="00540C0E">
      <w:pPr>
        <w:ind w:hanging="1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Тарифы </w:t>
      </w:r>
      <w:r>
        <w:rPr>
          <w:i/>
          <w:sz w:val="16"/>
          <w:szCs w:val="16"/>
        </w:rPr>
        <w:t xml:space="preserve">за услуги по эмиссии и обслуживанию </w:t>
      </w:r>
      <w:proofErr w:type="gramStart"/>
      <w:r>
        <w:rPr>
          <w:i/>
          <w:sz w:val="16"/>
          <w:szCs w:val="16"/>
        </w:rPr>
        <w:t>банковских  карт</w:t>
      </w:r>
      <w:proofErr w:type="gramEnd"/>
      <w:r>
        <w:rPr>
          <w:i/>
          <w:sz w:val="16"/>
          <w:szCs w:val="16"/>
        </w:rPr>
        <w:t xml:space="preserve"> «МИР» (Физические лица)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4986"/>
        <w:gridCol w:w="2753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1" w:type="dxa"/>
            <w:vMerge w:val="restart"/>
            <w:shd w:val="clear" w:color="auto" w:fill="B3B3B3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4986" w:type="dxa"/>
            <w:vMerge w:val="restart"/>
            <w:shd w:val="clear" w:color="auto" w:fill="B3B3B3"/>
            <w:vAlign w:val="center"/>
          </w:tcPr>
          <w:p w:rsidR="00000000" w:rsidRDefault="00540C0E">
            <w:pPr>
              <w:pStyle w:val="2"/>
              <w:rPr>
                <w:sz w:val="20"/>
              </w:rPr>
            </w:pPr>
            <w:r>
              <w:rPr>
                <w:sz w:val="20"/>
              </w:rPr>
              <w:t>Наименование статьи</w:t>
            </w:r>
          </w:p>
        </w:tc>
        <w:tc>
          <w:tcPr>
            <w:tcW w:w="2753" w:type="dxa"/>
            <w:shd w:val="clear" w:color="auto" w:fill="B3B3B3"/>
            <w:vAlign w:val="center"/>
          </w:tcPr>
          <w:p w:rsidR="00000000" w:rsidRDefault="00540C0E">
            <w:pPr>
              <w:pStyle w:val="3"/>
              <w:numPr>
                <w:ilvl w:val="2"/>
                <w:numId w:val="0"/>
              </w:numPr>
              <w:tabs>
                <w:tab w:val="num" w:pos="720"/>
              </w:tabs>
              <w:ind w:left="720" w:hanging="432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(а) Тариф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6"/>
          <w:jc w:val="center"/>
        </w:trPr>
        <w:tc>
          <w:tcPr>
            <w:tcW w:w="621" w:type="dxa"/>
            <w:vMerge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</w:p>
        </w:tc>
        <w:tc>
          <w:tcPr>
            <w:tcW w:w="4986" w:type="dxa"/>
            <w:vMerge/>
            <w:vAlign w:val="center"/>
          </w:tcPr>
          <w:p w:rsidR="00000000" w:rsidRDefault="00540C0E">
            <w:pPr>
              <w:rPr>
                <w:sz w:val="16"/>
              </w:rPr>
            </w:pPr>
          </w:p>
        </w:tc>
        <w:tc>
          <w:tcPr>
            <w:tcW w:w="2753" w:type="dxa"/>
            <w:shd w:val="clear" w:color="auto" w:fill="B3B3B3"/>
            <w:vAlign w:val="center"/>
          </w:tcPr>
          <w:p w:rsidR="00000000" w:rsidRDefault="00540C0E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Дебетовая классическая «МИР»</w:t>
            </w:r>
          </w:p>
          <w:p w:rsidR="00000000" w:rsidRDefault="00540C0E">
            <w:pPr>
              <w:jc w:val="center"/>
              <w:rPr>
                <w:sz w:val="16"/>
                <w:lang w:val="en-US"/>
              </w:rPr>
            </w:pPr>
          </w:p>
        </w:tc>
      </w:tr>
    </w:tbl>
    <w:p w:rsidR="00000000" w:rsidRDefault="00540C0E">
      <w:pPr>
        <w:rPr>
          <w:sz w:val="6"/>
          <w:szCs w:val="6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366"/>
      </w:tblGrid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66" w:type="dxa"/>
            <w:shd w:val="clear" w:color="auto" w:fill="C0C0C0"/>
            <w:vAlign w:val="center"/>
          </w:tcPr>
          <w:p w:rsidR="00000000" w:rsidRDefault="00540C0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 Обслуживание специального карточно</w:t>
            </w:r>
            <w:r>
              <w:rPr>
                <w:b/>
                <w:sz w:val="18"/>
                <w:szCs w:val="18"/>
              </w:rPr>
              <w:t>го счета (СКС)</w:t>
            </w:r>
          </w:p>
        </w:tc>
      </w:tr>
    </w:tbl>
    <w:p w:rsidR="00000000" w:rsidRDefault="00540C0E">
      <w:pPr>
        <w:rPr>
          <w:sz w:val="6"/>
          <w:szCs w:val="6"/>
        </w:rPr>
      </w:pPr>
    </w:p>
    <w:tbl>
      <w:tblPr>
        <w:tblW w:w="8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982"/>
        <w:gridCol w:w="2792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540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4982" w:type="dxa"/>
          </w:tcPr>
          <w:p w:rsidR="00000000" w:rsidRDefault="00540C0E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Комиссия за обслуживание СКС при выпуске карты (разово)</w:t>
            </w:r>
          </w:p>
        </w:tc>
        <w:tc>
          <w:tcPr>
            <w:tcW w:w="2792" w:type="dxa"/>
            <w:vAlign w:val="center"/>
          </w:tcPr>
          <w:p w:rsidR="00000000" w:rsidRDefault="00540C0E">
            <w:pPr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950 </w:t>
            </w:r>
            <w:proofErr w:type="spellStart"/>
            <w:r>
              <w:rPr>
                <w:b/>
                <w:i/>
                <w:sz w:val="16"/>
              </w:rPr>
              <w:t>руб.+НДС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540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4982" w:type="dxa"/>
          </w:tcPr>
          <w:p w:rsidR="00000000" w:rsidRDefault="00540C0E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Комиссия за обслуживание СКС при </w:t>
            </w:r>
            <w:proofErr w:type="spellStart"/>
            <w:r>
              <w:rPr>
                <w:sz w:val="16"/>
              </w:rPr>
              <w:t>переизготовлении</w:t>
            </w:r>
            <w:proofErr w:type="spellEnd"/>
            <w:r>
              <w:rPr>
                <w:sz w:val="16"/>
              </w:rPr>
              <w:t xml:space="preserve"> карты в случае утери/краже/утраты ПИН-кода/изменения личных данных</w:t>
            </w:r>
          </w:p>
        </w:tc>
        <w:tc>
          <w:tcPr>
            <w:tcW w:w="2792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950 </w:t>
            </w:r>
            <w:proofErr w:type="spellStart"/>
            <w:r>
              <w:rPr>
                <w:sz w:val="16"/>
              </w:rPr>
              <w:t>руб.+НДС</w:t>
            </w:r>
            <w:proofErr w:type="spellEnd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1.3</w:t>
            </w:r>
          </w:p>
        </w:tc>
        <w:tc>
          <w:tcPr>
            <w:tcW w:w="4982" w:type="dxa"/>
          </w:tcPr>
          <w:p w:rsidR="00000000" w:rsidRDefault="00540C0E">
            <w:pPr>
              <w:jc w:val="both"/>
              <w:rPr>
                <w:sz w:val="16"/>
              </w:rPr>
            </w:pPr>
            <w:r>
              <w:rPr>
                <w:sz w:val="16"/>
              </w:rPr>
              <w:t>Комиссия за запрос баланса</w:t>
            </w:r>
            <w:r>
              <w:rPr>
                <w:sz w:val="16"/>
              </w:rPr>
              <w:t xml:space="preserve"> в чужом ПВН</w:t>
            </w:r>
          </w:p>
        </w:tc>
        <w:tc>
          <w:tcPr>
            <w:tcW w:w="2792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 руб.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540C0E">
            <w:pPr>
              <w:jc w:val="center"/>
            </w:pPr>
            <w:r>
              <w:rPr>
                <w:sz w:val="16"/>
              </w:rPr>
              <w:t>1.4</w:t>
            </w:r>
          </w:p>
        </w:tc>
        <w:tc>
          <w:tcPr>
            <w:tcW w:w="4982" w:type="dxa"/>
          </w:tcPr>
          <w:p w:rsidR="00000000" w:rsidRDefault="00540C0E">
            <w:pPr>
              <w:jc w:val="both"/>
              <w:rPr>
                <w:b/>
                <w:i/>
                <w:sz w:val="16"/>
              </w:rPr>
            </w:pPr>
            <w:r>
              <w:rPr>
                <w:sz w:val="16"/>
              </w:rPr>
              <w:t xml:space="preserve">Зачисление денежных средств на счет через кассу банка или безналичное перечисление от сторонних источников в </w:t>
            </w:r>
            <w:proofErr w:type="gramStart"/>
            <w:r>
              <w:rPr>
                <w:sz w:val="16"/>
              </w:rPr>
              <w:t xml:space="preserve">зависимости  </w:t>
            </w:r>
            <w:r>
              <w:rPr>
                <w:b/>
                <w:i/>
                <w:sz w:val="16"/>
              </w:rPr>
              <w:t>от</w:t>
            </w:r>
            <w:proofErr w:type="gramEnd"/>
            <w:r>
              <w:rPr>
                <w:b/>
                <w:i/>
                <w:sz w:val="16"/>
              </w:rPr>
              <w:t xml:space="preserve"> суммы                               до 200 тыс. руб.                          </w:t>
            </w:r>
          </w:p>
          <w:p w:rsidR="00000000" w:rsidRDefault="00540C0E">
            <w:pPr>
              <w:jc w:val="both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                         от</w:t>
            </w:r>
            <w:r>
              <w:rPr>
                <w:b/>
                <w:i/>
                <w:sz w:val="16"/>
              </w:rPr>
              <w:t xml:space="preserve">   201 тыс. – 400 тыс. руб.</w:t>
            </w:r>
          </w:p>
          <w:p w:rsidR="00000000" w:rsidRDefault="00540C0E">
            <w:pPr>
              <w:jc w:val="both"/>
              <w:rPr>
                <w:sz w:val="16"/>
              </w:rPr>
            </w:pPr>
            <w:r>
              <w:rPr>
                <w:b/>
                <w:i/>
                <w:sz w:val="16"/>
              </w:rPr>
              <w:t xml:space="preserve">                                     Свыше  400 тыс. руб.</w:t>
            </w:r>
          </w:p>
        </w:tc>
        <w:tc>
          <w:tcPr>
            <w:tcW w:w="2792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</w:p>
          <w:p w:rsidR="00000000" w:rsidRDefault="00540C0E">
            <w:pPr>
              <w:jc w:val="center"/>
              <w:rPr>
                <w:sz w:val="16"/>
              </w:rPr>
            </w:pPr>
          </w:p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0%</w:t>
            </w:r>
          </w:p>
          <w:p w:rsidR="00000000" w:rsidRDefault="00540C0E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3,0%</w:t>
            </w:r>
          </w:p>
          <w:p w:rsidR="00000000" w:rsidRDefault="00540C0E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4%</w:t>
            </w:r>
          </w:p>
        </w:tc>
      </w:tr>
    </w:tbl>
    <w:p w:rsidR="00000000" w:rsidRDefault="00540C0E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3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361" w:type="dxa"/>
            <w:shd w:val="clear" w:color="auto" w:fill="C0C0C0"/>
            <w:vAlign w:val="center"/>
          </w:tcPr>
          <w:p w:rsidR="00000000" w:rsidRDefault="00540C0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Расчеты по операциям с использованием банковских карт</w:t>
            </w:r>
          </w:p>
        </w:tc>
      </w:tr>
    </w:tbl>
    <w:p w:rsidR="00000000" w:rsidRDefault="00540C0E">
      <w:pPr>
        <w:rPr>
          <w:sz w:val="6"/>
          <w:szCs w:val="6"/>
        </w:rPr>
      </w:pPr>
    </w:p>
    <w:tbl>
      <w:tblPr>
        <w:tblW w:w="8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4978"/>
        <w:gridCol w:w="2759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45"/>
          <w:jc w:val="center"/>
        </w:trPr>
        <w:tc>
          <w:tcPr>
            <w:tcW w:w="618" w:type="dxa"/>
            <w:vMerge w:val="restart"/>
            <w:vAlign w:val="center"/>
          </w:tcPr>
          <w:p w:rsidR="00000000" w:rsidRDefault="00540C0E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  <w:lang w:val="en-US"/>
              </w:rPr>
              <w:t>1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Комиссия за проведение операций по выдаче наличных в банкоматах сторонних банков и банков па</w:t>
            </w:r>
            <w:r>
              <w:rPr>
                <w:sz w:val="16"/>
              </w:rPr>
              <w:t>ртнеров</w:t>
            </w:r>
          </w:p>
          <w:p w:rsidR="00000000" w:rsidRDefault="00540C0E">
            <w:pPr>
              <w:rPr>
                <w:sz w:val="16"/>
              </w:rPr>
            </w:pPr>
          </w:p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сумма операции до 3 000 рублей</w:t>
            </w:r>
          </w:p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сумма операции от 3 000 рублей (включительно)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</w:p>
          <w:p w:rsidR="00000000" w:rsidRDefault="00540C0E">
            <w:pPr>
              <w:jc w:val="center"/>
              <w:rPr>
                <w:sz w:val="16"/>
              </w:rPr>
            </w:pPr>
          </w:p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\</w:t>
            </w:r>
          </w:p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- 0,7 % но не менее 20 рублей</w:t>
            </w:r>
          </w:p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- 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44"/>
          <w:jc w:val="center"/>
        </w:trPr>
        <w:tc>
          <w:tcPr>
            <w:tcW w:w="618" w:type="dxa"/>
            <w:vMerge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</w:p>
        </w:tc>
        <w:tc>
          <w:tcPr>
            <w:tcW w:w="4978" w:type="dxa"/>
            <w:vAlign w:val="center"/>
          </w:tcPr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Комиссия за проведение операций по выдаче наличных в пунктах выдачи наличных сторонних банков и банков партнеров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- 0,7 % н</w:t>
            </w:r>
            <w:r>
              <w:rPr>
                <w:sz w:val="16"/>
              </w:rPr>
              <w:t>о не менее 20 рублей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  <w:lang w:val="en-US"/>
              </w:rPr>
              <w:t>2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 xml:space="preserve">Комиссия за проведение операций по выдаче наличных рублей  в банкоматах и пунктах выдачи наличных ООО банк «Элита»  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0%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  <w:lang w:val="en-US"/>
              </w:rPr>
            </w:pPr>
            <w:r>
              <w:rPr>
                <w:sz w:val="16"/>
              </w:rPr>
              <w:t>2.</w:t>
            </w:r>
            <w:r>
              <w:rPr>
                <w:sz w:val="16"/>
                <w:lang w:val="en-US"/>
              </w:rPr>
              <w:t>3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rPr>
                <w:sz w:val="16"/>
              </w:rPr>
            </w:pPr>
            <w:r>
              <w:rPr>
                <w:sz w:val="16"/>
              </w:rPr>
              <w:t>Комиссия за безналичные операции (оплата товаров/услуг)</w:t>
            </w:r>
          </w:p>
        </w:tc>
        <w:tc>
          <w:tcPr>
            <w:tcW w:w="2759" w:type="dxa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napToGrid w:val="0"/>
                <w:sz w:val="16"/>
              </w:rPr>
              <w:t>Бесплатно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2.4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Конверсионные операции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При совершении операций в валюте, отличной от валюты СКС, валюта операции конвертируется в валюту расчетов с платежной системой по курсу, устанавливаемому платежной системой, а из валюты расчетов в валюту СКС конверсия осуществляется по курсу ЦБ РФ на дату</w:t>
            </w:r>
            <w:r>
              <w:rPr>
                <w:sz w:val="14"/>
                <w:szCs w:val="14"/>
              </w:rPr>
              <w:t xml:space="preserve"> проведения расчетов по операциям с картой.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2.5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  <w:lang w:val="en-US"/>
              </w:rPr>
              <w:t>SMS</w:t>
            </w:r>
            <w:r>
              <w:rPr>
                <w:rFonts w:ascii="Times New Roman" w:hAnsi="Times New Roman" w:cs="Times New Roman"/>
                <w:szCs w:val="20"/>
              </w:rPr>
              <w:t xml:space="preserve"> сообщения о проведенной операции (ежемесячно)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both"/>
              <w:rPr>
                <w:sz w:val="16"/>
              </w:rPr>
            </w:pPr>
            <w:r>
              <w:rPr>
                <w:sz w:val="16"/>
              </w:rPr>
              <w:t>Без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2.6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Получение денежных средств через кассу банка 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both"/>
              <w:rPr>
                <w:sz w:val="16"/>
              </w:rPr>
            </w:pPr>
            <w:r>
              <w:rPr>
                <w:sz w:val="16"/>
              </w:rPr>
              <w:t>Без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2.7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Блокировка и разблокировка  карты по желанию держателя карты 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both"/>
              <w:rPr>
                <w:sz w:val="16"/>
              </w:rPr>
            </w:pPr>
            <w:r>
              <w:rPr>
                <w:sz w:val="16"/>
              </w:rPr>
              <w:t>Без комиссии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18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2.8</w:t>
            </w:r>
          </w:p>
        </w:tc>
        <w:tc>
          <w:tcPr>
            <w:tcW w:w="4978" w:type="dxa"/>
            <w:vAlign w:val="center"/>
          </w:tcPr>
          <w:p w:rsidR="00000000" w:rsidRDefault="00540C0E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Валютный контроль (при поступлении денежных средств от нерезидентов)</w:t>
            </w:r>
          </w:p>
        </w:tc>
        <w:tc>
          <w:tcPr>
            <w:tcW w:w="2759" w:type="dxa"/>
            <w:vAlign w:val="center"/>
          </w:tcPr>
          <w:p w:rsidR="00000000" w:rsidRDefault="00540C0E">
            <w:pPr>
              <w:jc w:val="both"/>
              <w:rPr>
                <w:sz w:val="16"/>
                <w:highlight w:val="yellow"/>
              </w:rPr>
            </w:pPr>
            <w:r>
              <w:rPr>
                <w:sz w:val="16"/>
              </w:rPr>
              <w:t>0,15% от поступившей суммы (минимум 300 рублей)</w:t>
            </w:r>
          </w:p>
        </w:tc>
      </w:tr>
    </w:tbl>
    <w:p w:rsidR="00000000" w:rsidRDefault="00540C0E">
      <w:pPr>
        <w:rPr>
          <w:sz w:val="6"/>
          <w:szCs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83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361" w:type="dxa"/>
            <w:shd w:val="clear" w:color="auto" w:fill="C0C0C0"/>
            <w:vAlign w:val="center"/>
          </w:tcPr>
          <w:p w:rsidR="00000000" w:rsidRDefault="00540C0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  Расчеты при возникновении задолженности по СКС</w:t>
            </w:r>
          </w:p>
        </w:tc>
      </w:tr>
    </w:tbl>
    <w:p w:rsidR="00000000" w:rsidRDefault="00540C0E">
      <w:pPr>
        <w:rPr>
          <w:sz w:val="6"/>
          <w:szCs w:val="6"/>
        </w:rPr>
      </w:pPr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984"/>
        <w:gridCol w:w="276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22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>3.1</w:t>
            </w:r>
          </w:p>
        </w:tc>
        <w:tc>
          <w:tcPr>
            <w:tcW w:w="4984" w:type="dxa"/>
          </w:tcPr>
          <w:p w:rsidR="00000000" w:rsidRDefault="00540C0E">
            <w:pPr>
              <w:pStyle w:val="a3"/>
              <w:jc w:val="both"/>
              <w:rPr>
                <w:sz w:val="16"/>
              </w:rPr>
            </w:pPr>
            <w:r>
              <w:rPr>
                <w:sz w:val="16"/>
              </w:rPr>
              <w:t>Начисление процентов при возникновении дебетового сальдо на счете (неразреш</w:t>
            </w:r>
            <w:r>
              <w:rPr>
                <w:sz w:val="16"/>
              </w:rPr>
              <w:t>енный овердрафт)</w:t>
            </w:r>
          </w:p>
        </w:tc>
        <w:tc>
          <w:tcPr>
            <w:tcW w:w="2761" w:type="dxa"/>
            <w:vAlign w:val="center"/>
          </w:tcPr>
          <w:p w:rsidR="00000000" w:rsidRDefault="00540C0E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0 % годовых </w:t>
            </w:r>
          </w:p>
        </w:tc>
      </w:tr>
    </w:tbl>
    <w:p w:rsidR="00000000" w:rsidRDefault="00540C0E">
      <w:pPr>
        <w:rPr>
          <w:sz w:val="6"/>
          <w:szCs w:val="6"/>
        </w:rPr>
      </w:pPr>
    </w:p>
    <w:p w:rsidR="00000000" w:rsidRDefault="00540C0E">
      <w:pPr>
        <w:pStyle w:val="a3"/>
        <w:tabs>
          <w:tab w:val="left" w:pos="9356"/>
        </w:tabs>
        <w:ind w:left="567"/>
        <w:jc w:val="both"/>
        <w:rPr>
          <w:sz w:val="14"/>
          <w:szCs w:val="14"/>
        </w:rPr>
      </w:pPr>
    </w:p>
    <w:p w:rsidR="00000000" w:rsidRDefault="00540C0E">
      <w:pPr>
        <w:pStyle w:val="a3"/>
        <w:tabs>
          <w:tab w:val="left" w:pos="9356"/>
        </w:tabs>
        <w:ind w:left="567"/>
        <w:jc w:val="both"/>
        <w:rPr>
          <w:sz w:val="14"/>
          <w:szCs w:val="14"/>
        </w:rPr>
      </w:pPr>
    </w:p>
    <w:p w:rsidR="00000000" w:rsidRDefault="00540C0E">
      <w:pPr>
        <w:pStyle w:val="a3"/>
        <w:tabs>
          <w:tab w:val="left" w:pos="9356"/>
        </w:tabs>
        <w:ind w:left="567"/>
        <w:jc w:val="both"/>
        <w:rPr>
          <w:sz w:val="14"/>
          <w:szCs w:val="14"/>
        </w:rPr>
      </w:pPr>
      <w:r>
        <w:rPr>
          <w:sz w:val="14"/>
          <w:szCs w:val="14"/>
        </w:rPr>
        <w:t>Примечание:</w:t>
      </w:r>
    </w:p>
    <w:p w:rsidR="00000000" w:rsidRDefault="00540C0E">
      <w:pPr>
        <w:pStyle w:val="a3"/>
        <w:numPr>
          <w:ilvl w:val="0"/>
          <w:numId w:val="5"/>
        </w:numPr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Срок действия банковской карты – бессрочно.</w:t>
      </w:r>
    </w:p>
    <w:p w:rsidR="00000000" w:rsidRDefault="00540C0E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Выпуск карты на новый срок, а также взамен утерянной и по иным основаниям осуществляется в соответствии с настоящими Тарифами на общих условиях.</w:t>
      </w:r>
    </w:p>
    <w:p w:rsidR="00000000" w:rsidRDefault="00540C0E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Комиссии по иным услу</w:t>
      </w:r>
      <w:r>
        <w:rPr>
          <w:sz w:val="14"/>
          <w:szCs w:val="14"/>
        </w:rPr>
        <w:t>гам взимаются в соответствии с тарифами платежных систем.</w:t>
      </w:r>
    </w:p>
    <w:p w:rsidR="00000000" w:rsidRDefault="00540C0E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Комиссии взимаются в рублях РФ по курсу Банка России на день списания с СКС</w:t>
      </w:r>
    </w:p>
    <w:p w:rsidR="00000000" w:rsidRDefault="00540C0E">
      <w:pPr>
        <w:pStyle w:val="a3"/>
        <w:numPr>
          <w:ilvl w:val="0"/>
          <w:numId w:val="5"/>
        </w:numPr>
        <w:tabs>
          <w:tab w:val="num" w:pos="0"/>
        </w:tabs>
        <w:spacing w:after="0"/>
        <w:ind w:left="284" w:hanging="284"/>
        <w:jc w:val="both"/>
        <w:rPr>
          <w:sz w:val="14"/>
          <w:szCs w:val="14"/>
        </w:rPr>
      </w:pPr>
      <w:r>
        <w:rPr>
          <w:sz w:val="14"/>
          <w:szCs w:val="14"/>
        </w:rPr>
        <w:t>Комиссионное вознаграждение по статье 2.1 взимается с суммы операции получения наличных денежных средств, которая может до</w:t>
      </w:r>
      <w:r>
        <w:rPr>
          <w:sz w:val="14"/>
          <w:szCs w:val="14"/>
        </w:rPr>
        <w:t>полнительно содержать комиссию банка, выдавшего наличные.</w:t>
      </w:r>
    </w:p>
    <w:p w:rsidR="00540C0E" w:rsidRDefault="00540C0E">
      <w:pPr>
        <w:pStyle w:val="4"/>
        <w:spacing w:before="0" w:after="0"/>
      </w:pPr>
    </w:p>
    <w:sectPr w:rsidR="00540C0E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618B"/>
    <w:multiLevelType w:val="hybridMultilevel"/>
    <w:tmpl w:val="D2105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CD3DB4"/>
    <w:multiLevelType w:val="hybridMultilevel"/>
    <w:tmpl w:val="F2647F2E"/>
    <w:lvl w:ilvl="0" w:tplc="F88A862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3C645BB"/>
    <w:multiLevelType w:val="hybridMultilevel"/>
    <w:tmpl w:val="F7202FAC"/>
    <w:lvl w:ilvl="0" w:tplc="AE6836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02B4E6B"/>
    <w:multiLevelType w:val="hybridMultilevel"/>
    <w:tmpl w:val="9EF252E2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 w15:restartNumberingAfterBreak="0">
    <w:nsid w:val="511C5317"/>
    <w:multiLevelType w:val="hybridMultilevel"/>
    <w:tmpl w:val="C38ED05A"/>
    <w:lvl w:ilvl="0" w:tplc="826036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5C"/>
    <w:rsid w:val="0037185C"/>
    <w:rsid w:val="0054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14BCA-9BD6-490F-A995-7E2CECB11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2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after="120"/>
    </w:pPr>
    <w:rPr>
      <w:sz w:val="20"/>
      <w:szCs w:val="20"/>
    </w:rPr>
  </w:style>
  <w:style w:type="paragraph" w:styleId="20">
    <w:name w:val="Body Text 2"/>
    <w:basedOn w:val="a"/>
    <w:pPr>
      <w:jc w:val="both"/>
    </w:pPr>
    <w:rPr>
      <w:sz w:val="22"/>
    </w:rPr>
  </w:style>
  <w:style w:type="paragraph" w:styleId="a4">
    <w:name w:val="footnote text"/>
    <w:basedOn w:val="a"/>
    <w:link w:val="a5"/>
    <w:semiHidden/>
    <w:rPr>
      <w:sz w:val="20"/>
      <w:szCs w:val="20"/>
    </w:rPr>
  </w:style>
  <w:style w:type="character" w:customStyle="1" w:styleId="a5">
    <w:name w:val="Текст сноски Знак"/>
    <w:link w:val="a4"/>
    <w:semiHidden/>
    <w:locked/>
    <w:rPr>
      <w:lang w:val="ru-RU" w:eastAsia="ru-RU" w:bidi="ar-SA"/>
    </w:rPr>
  </w:style>
  <w:style w:type="paragraph" w:styleId="a6">
    <w:name w:val="Balloon Text"/>
    <w:basedOn w:val="a"/>
    <w:link w:val="a7"/>
    <w:semiHidden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Pr>
      <w:rFonts w:ascii="Tahoma" w:hAnsi="Tahoma" w:cs="Tahoma"/>
      <w:sz w:val="16"/>
      <w:szCs w:val="16"/>
      <w:lang w:val="ru-RU" w:eastAsia="ru-RU" w:bidi="ar-SA"/>
    </w:rPr>
  </w:style>
  <w:style w:type="character" w:styleId="a8">
    <w:name w:val="annotation reference"/>
    <w:semiHidden/>
    <w:rPr>
      <w:sz w:val="16"/>
      <w:szCs w:val="16"/>
    </w:rPr>
  </w:style>
  <w:style w:type="paragraph" w:styleId="a9">
    <w:name w:val="annotation text"/>
    <w:basedOn w:val="a"/>
    <w:semiHidden/>
    <w:rPr>
      <w:sz w:val="20"/>
      <w:szCs w:val="20"/>
    </w:rPr>
  </w:style>
  <w:style w:type="paragraph" w:styleId="aa">
    <w:name w:val="annotation subject"/>
    <w:basedOn w:val="a9"/>
    <w:next w:val="a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9FAE5-D0A8-498E-A295-A479029A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Plastic</dc:creator>
  <cp:keywords/>
  <dc:description/>
  <cp:lastModifiedBy>Анохин Р.Е.</cp:lastModifiedBy>
  <cp:revision>2</cp:revision>
  <cp:lastPrinted>2017-08-02T07:51:00Z</cp:lastPrinted>
  <dcterms:created xsi:type="dcterms:W3CDTF">2026-07-21T13:52:00Z</dcterms:created>
  <dcterms:modified xsi:type="dcterms:W3CDTF">2026-07-21T13:52:00Z</dcterms:modified>
</cp:coreProperties>
</file>